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147"/>
      </w:tblGrid>
      <w:tr w:rsidR="007F2577" w:rsidRPr="007F2577" w:rsidTr="007F2577">
        <w:trPr>
          <w:trHeight w:val="450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  <w:lang w:eastAsia="ru-RU"/>
              </w:rPr>
              <w:t>Тарифы на водоснабжение и водоотведение</w:t>
            </w:r>
          </w:p>
        </w:tc>
      </w:tr>
      <w:tr w:rsidR="007F2577" w:rsidRPr="007F2577" w:rsidTr="007F2577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ECECEC"/>
              <w:right w:val="nil"/>
            </w:tcBorders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Район/организация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января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202</w:t>
            </w:r>
            <w:r w:rsidR="00A321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г. (без учета НДС)</w:t>
            </w:r>
          </w:p>
        </w:tc>
      </w:tr>
      <w:tr w:rsidR="007F2577" w:rsidRPr="007F2577" w:rsidTr="007F2577">
        <w:tc>
          <w:tcPr>
            <w:tcW w:w="0" w:type="auto"/>
            <w:gridSpan w:val="2"/>
            <w:tcBorders>
              <w:left w:val="nil"/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Питьевая вода    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для потребителей муниципального образования "город Азнакаево"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95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для потребителей муниципального образования "город Альметьевск"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83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для потребителей муниципального образования "город Заинск"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98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для потребителей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Круглопольского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Тукаевского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82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для потребителей муниципального образования "поселок городского типа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Джалиль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68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для потребителей муниципального образования "город Лениногорск"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92</w:t>
            </w:r>
          </w:p>
        </w:tc>
      </w:tr>
      <w:tr w:rsidR="007F2577" w:rsidRPr="007F2577" w:rsidTr="007F2577">
        <w:tc>
          <w:tcPr>
            <w:tcW w:w="0" w:type="auto"/>
            <w:gridSpan w:val="2"/>
            <w:tcBorders>
              <w:left w:val="nil"/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Питьевая вода (с подземных водоисточников)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для потребителей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Бухарайского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Заинского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40,87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для населения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Бухарайского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Заинского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(с учетом НДС)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9,04</w:t>
            </w:r>
          </w:p>
        </w:tc>
      </w:tr>
      <w:tr w:rsidR="007F2577" w:rsidRPr="007F2577" w:rsidTr="007F2577">
        <w:tc>
          <w:tcPr>
            <w:tcW w:w="0" w:type="auto"/>
            <w:gridSpan w:val="2"/>
            <w:tcBorders>
              <w:left w:val="nil"/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Техническая вода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для потребителей муниципальных образований «город Набережные Челны», «город Нижнекамск», п. Нефтебаза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Тукаевского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7,29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 для потребителей муниципальных образований «город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Азнакаево</w:t>
            </w:r>
            <w:proofErr w:type="gram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»,«</w:t>
            </w:r>
            <w:proofErr w:type="gram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город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Альметьевск», «город Бавлы», «город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Бугульма», «город Заинек», «город Нурлат»,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«поселок городского типа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Джалиль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4,61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для организаций системы поддержания пластового давления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4,79</w:t>
            </w:r>
          </w:p>
        </w:tc>
      </w:tr>
      <w:tr w:rsidR="007F2577" w:rsidRPr="007F2577" w:rsidTr="007F2577">
        <w:tc>
          <w:tcPr>
            <w:tcW w:w="0" w:type="auto"/>
            <w:gridSpan w:val="2"/>
            <w:tcBorders>
              <w:left w:val="nil"/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для потребителей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Бухарайского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Заинского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7,77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для населения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Бухарайского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Заинского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(с учетом НДС)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3,32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для прочих потребителей Новоникольского сельского поселения Альметьевского муниципального района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46,80</w:t>
            </w:r>
          </w:p>
        </w:tc>
      </w:tr>
      <w:tr w:rsidR="007F2577" w:rsidRPr="007F2577" w:rsidTr="007F2577">
        <w:tc>
          <w:tcPr>
            <w:tcW w:w="0" w:type="auto"/>
            <w:tcBorders>
              <w:left w:val="nil"/>
              <w:bottom w:val="nil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для населения Новоникольского сельского поселения Альметьевского муниципального района (с учетом НДС)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56,16</w:t>
            </w:r>
          </w:p>
        </w:tc>
      </w:tr>
    </w:tbl>
    <w:p w:rsidR="007F2577" w:rsidRPr="007F2577" w:rsidRDefault="007F2577" w:rsidP="007F2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830"/>
        <w:gridCol w:w="1377"/>
        <w:gridCol w:w="1879"/>
        <w:gridCol w:w="1729"/>
      </w:tblGrid>
      <w:tr w:rsidR="007F2577" w:rsidRPr="007F2577" w:rsidTr="00552467">
        <w:trPr>
          <w:gridAfter w:val="1"/>
          <w:trHeight w:val="450"/>
        </w:trPr>
        <w:tc>
          <w:tcPr>
            <w:tcW w:w="7481" w:type="dxa"/>
            <w:gridSpan w:val="4"/>
            <w:vMerge w:val="restart"/>
            <w:tcBorders>
              <w:top w:val="nil"/>
              <w:left w:val="nil"/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  <w:lang w:eastAsia="ru-RU"/>
              </w:rPr>
              <w:t>Тарифы на подключение (технологическое присоединение) к централизованной системе водоснабжения ООО "УПТЖ для ППД"</w:t>
            </w:r>
          </w:p>
        </w:tc>
      </w:tr>
      <w:tr w:rsidR="007F2577" w:rsidRPr="007F2577" w:rsidTr="00552467">
        <w:trPr>
          <w:gridAfter w:val="1"/>
          <w:trHeight w:val="450"/>
        </w:trPr>
        <w:tc>
          <w:tcPr>
            <w:tcW w:w="7481" w:type="dxa"/>
            <w:gridSpan w:val="4"/>
            <w:vMerge/>
            <w:tcBorders>
              <w:top w:val="nil"/>
              <w:left w:val="nil"/>
              <w:bottom w:val="single" w:sz="6" w:space="0" w:color="ECECEC"/>
              <w:right w:val="nil"/>
            </w:tcBorders>
            <w:vAlign w:val="center"/>
            <w:hideMark/>
          </w:tcPr>
          <w:p w:rsidR="007F2577" w:rsidRPr="007F2577" w:rsidRDefault="007F2577" w:rsidP="007F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552467" w:rsidRPr="007F2577" w:rsidTr="00552467">
        <w:tc>
          <w:tcPr>
            <w:tcW w:w="0" w:type="auto"/>
            <w:vMerge w:val="restart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30" w:type="dxa"/>
            <w:vMerge w:val="restart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Тарифы на подключение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Тарифы на подключение</w:t>
            </w:r>
          </w:p>
        </w:tc>
      </w:tr>
      <w:tr w:rsidR="00552467" w:rsidRPr="007F2577" w:rsidTr="00552467">
        <w:tc>
          <w:tcPr>
            <w:tcW w:w="0" w:type="auto"/>
            <w:vMerge/>
            <w:tcBorders>
              <w:left w:val="nil"/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30" w:type="dxa"/>
            <w:vMerge/>
            <w:tcBorders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bottom w:val="single" w:sz="6" w:space="0" w:color="ECECEC"/>
              <w:right w:val="single" w:sz="6" w:space="0" w:color="ECECEC"/>
            </w:tcBorders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(без учета НДС)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(без учета НДС)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Базовая ставка тарифа на подключаемую нагрузку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тыс.руб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./</w:t>
            </w:r>
            <w:proofErr w:type="spellStart"/>
            <w:proofErr w:type="gram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  <w:r w:rsidRPr="007F257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vertAlign w:val="superscript"/>
                <w:lang w:eastAsia="ru-RU"/>
              </w:rPr>
              <w:t> 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сут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1,6670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1,1111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*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Базовая ставка тарифа на протяженность сетей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тыс.руб</w:t>
            </w:r>
            <w:proofErr w:type="spellEnd"/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./км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3 239,94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4503,05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Коэффициент дифференциации тарифа от диаметра сетей: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диаметром 40 мм и менее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0,63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диаметром от 40 мм до 70 мм (включительно)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0,63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диаметром от 70 мм до 100 мм (включительно)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0,63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диаметром от 100 мм до 150 мм (включительно)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диаметром от 150 мм до 200 мм (включительно)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552467" w:rsidRPr="007F2577" w:rsidTr="00552467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диаметром от 200 мм до 250 мм (включительно)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552467" w:rsidRPr="007F2577" w:rsidTr="00552467">
        <w:trPr>
          <w:gridAfter w:val="1"/>
        </w:trPr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3830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диаметром от 250 мм и более</w:t>
            </w:r>
          </w:p>
        </w:tc>
        <w:tc>
          <w:tcPr>
            <w:tcW w:w="932" w:type="dxa"/>
            <w:tcBorders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552467" w:rsidRPr="007F2577" w:rsidTr="00552467">
        <w:trPr>
          <w:gridAfter w:val="1"/>
        </w:trPr>
        <w:tc>
          <w:tcPr>
            <w:tcW w:w="7481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2467" w:rsidRPr="007F2577" w:rsidRDefault="00552467" w:rsidP="0055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Примечание: * С учетом положений пункта 13 статьи 18 Федерального закона от 7 декабря 2011 года № 416-ФЗ «О водоснабжении и водоотведении».</w:t>
            </w:r>
          </w:p>
        </w:tc>
      </w:tr>
    </w:tbl>
    <w:p w:rsidR="00243DF3" w:rsidRDefault="007F2577">
      <w:r>
        <w:t xml:space="preserve"> </w:t>
      </w:r>
    </w:p>
    <w:p w:rsidR="00C93639" w:rsidRDefault="00C93639" w:rsidP="00C936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7F2577" w:rsidRDefault="00C93639" w:rsidP="00C93639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 xml:space="preserve"> </w:t>
      </w:r>
      <w:r w:rsidR="007F2577" w:rsidRPr="00C9363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Тарифы</w:t>
      </w:r>
      <w:r w:rsidR="007F2577">
        <w:t xml:space="preserve"> </w:t>
      </w:r>
      <w:r w:rsidR="007F2577" w:rsidRPr="00C9363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</w:t>
      </w:r>
      <w:r w:rsidR="007F2577">
        <w:t xml:space="preserve"> </w:t>
      </w:r>
      <w:r w:rsidR="007F2577" w:rsidRPr="00C9363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транспортировку холодной воды и транспортировку сточных вод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4206"/>
      </w:tblGrid>
      <w:tr w:rsidR="007F2577" w:rsidRPr="007F2577" w:rsidTr="00185295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18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Район/организация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1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января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202</w:t>
            </w:r>
            <w:r w:rsidR="00C936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г. (без учета НДС)</w:t>
            </w:r>
          </w:p>
        </w:tc>
      </w:tr>
      <w:tr w:rsidR="007F2577" w:rsidRPr="007F2577" w:rsidTr="00185295">
        <w:tc>
          <w:tcPr>
            <w:tcW w:w="0" w:type="auto"/>
            <w:gridSpan w:val="2"/>
            <w:tcBorders>
              <w:left w:val="nil"/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18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Транспортировка холодной воды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  </w:t>
            </w:r>
          </w:p>
        </w:tc>
      </w:tr>
      <w:tr w:rsidR="007F2577" w:rsidRPr="007F2577" w:rsidTr="00185295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18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для потребителей муниципального образования "город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Альметьевск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1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2,13</w:t>
            </w:r>
          </w:p>
        </w:tc>
      </w:tr>
      <w:tr w:rsidR="007F2577" w:rsidRPr="007F2577" w:rsidTr="00185295">
        <w:tc>
          <w:tcPr>
            <w:tcW w:w="0" w:type="auto"/>
            <w:tcBorders>
              <w:left w:val="nil"/>
              <w:bottom w:val="single" w:sz="6" w:space="0" w:color="ECECEC"/>
              <w:right w:val="single" w:sz="6" w:space="0" w:color="ECECE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Default="007F2577" w:rsidP="0018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Транспортировка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сточной воды</w:t>
            </w: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</w:t>
            </w:r>
          </w:p>
          <w:p w:rsidR="007F2577" w:rsidRPr="007F2577" w:rsidRDefault="007F2577" w:rsidP="0018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257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для потребителей муниципального образования "город Альметьевск"</w:t>
            </w:r>
          </w:p>
        </w:tc>
        <w:tc>
          <w:tcPr>
            <w:tcW w:w="0" w:type="auto"/>
            <w:tcBorders>
              <w:bottom w:val="single" w:sz="6" w:space="0" w:color="ECECEC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2577" w:rsidRPr="007F2577" w:rsidRDefault="007F2577" w:rsidP="001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4,21</w:t>
            </w:r>
          </w:p>
        </w:tc>
      </w:tr>
    </w:tbl>
    <w:p w:rsidR="007F2577" w:rsidRDefault="007F2577"/>
    <w:p w:rsidR="007F2577" w:rsidRDefault="007F2577"/>
    <w:sectPr w:rsidR="007F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77"/>
    <w:rsid w:val="00243DF3"/>
    <w:rsid w:val="00552467"/>
    <w:rsid w:val="007F2577"/>
    <w:rsid w:val="00A321B8"/>
    <w:rsid w:val="00C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E70C"/>
  <w15:chartTrackingRefBased/>
  <w15:docId w15:val="{80DB3A3E-9A43-4A1A-B943-E1453E8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Лиана Марселевна</dc:creator>
  <cp:keywords/>
  <dc:description/>
  <cp:lastModifiedBy>Ахметова Лиана Марселевна</cp:lastModifiedBy>
  <cp:revision>2</cp:revision>
  <dcterms:created xsi:type="dcterms:W3CDTF">2024-04-27T12:17:00Z</dcterms:created>
  <dcterms:modified xsi:type="dcterms:W3CDTF">2024-04-27T12:17:00Z</dcterms:modified>
</cp:coreProperties>
</file>